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A2EBA" w:rsidR="00263E54" w:rsidP="00F65098" w:rsidRDefault="59FF9827" w14:paraId="1C2B01EA" w14:textId="5C913BAD">
      <w:pPr>
        <w:jc w:val="center"/>
        <w:rPr>
          <w:rFonts w:ascii="Georgia" w:hAnsi="Georgia" w:cs="Arial"/>
          <w:b/>
          <w:bCs/>
          <w:sz w:val="28"/>
          <w:szCs w:val="28"/>
        </w:rPr>
      </w:pPr>
      <w:r w:rsidRPr="59FF9827">
        <w:rPr>
          <w:rFonts w:ascii="Georgia" w:hAnsi="Georgia" w:cs="Arial"/>
          <w:b/>
          <w:bCs/>
          <w:sz w:val="28"/>
          <w:szCs w:val="28"/>
        </w:rPr>
        <w:t>References</w:t>
      </w:r>
    </w:p>
    <w:p w:rsidRPr="00CF10BA" w:rsidR="00CF10BA" w:rsidP="00F65098" w:rsidRDefault="00CF10BA" w14:paraId="166D0B27" w14:textId="7777777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Pr="00F65098" w:rsidR="00817377" w:rsidP="002806D4" w:rsidRDefault="59FF9827" w14:paraId="3649E187" w14:textId="61965380" w14:noSpellErr="1">
      <w:pPr>
        <w:ind w:left="720" w:hanging="720"/>
        <w:rPr>
          <w:rFonts w:ascii="Arial" w:hAnsi="Arial" w:cs="Arial"/>
          <w:sz w:val="22"/>
          <w:szCs w:val="22"/>
        </w:rPr>
      </w:pPr>
      <w:r w:rsidRPr="163372D6" w:rsidR="59FF9827">
        <w:rPr>
          <w:rFonts w:ascii="Arial" w:hAnsi="Arial" w:cs="Arial"/>
          <w:sz w:val="22"/>
          <w:szCs w:val="22"/>
        </w:rPr>
        <w:t>Alexander</w:t>
      </w:r>
      <w:r w:rsidRPr="163372D6" w:rsidR="59FF9827">
        <w:rPr>
          <w:rFonts w:ascii="Arial" w:hAnsi="Arial" w:cs="Arial"/>
          <w:sz w:val="22"/>
          <w:szCs w:val="22"/>
        </w:rPr>
        <w:t xml:space="preserve">, </w:t>
      </w:r>
      <w:r w:rsidRPr="163372D6" w:rsidR="0028121F">
        <w:rPr>
          <w:rFonts w:ascii="Arial" w:hAnsi="Arial" w:cs="Arial"/>
          <w:sz w:val="22"/>
          <w:szCs w:val="22"/>
        </w:rPr>
        <w:t>J.</w:t>
      </w:r>
      <w:r w:rsidRPr="163372D6" w:rsidR="59FF9827">
        <w:rPr>
          <w:rFonts w:ascii="Arial" w:hAnsi="Arial" w:cs="Arial"/>
          <w:sz w:val="22"/>
          <w:szCs w:val="22"/>
        </w:rPr>
        <w:t xml:space="preserve"> L. </w:t>
      </w:r>
      <w:r w:rsidRPr="163372D6" w:rsidR="00D158BE">
        <w:rPr>
          <w:rFonts w:ascii="Arial" w:hAnsi="Arial" w:cs="Arial"/>
          <w:sz w:val="22"/>
          <w:szCs w:val="22"/>
        </w:rPr>
        <w:t xml:space="preserve">&amp; </w:t>
      </w:r>
      <w:r w:rsidRPr="163372D6" w:rsidR="59FF9827">
        <w:rPr>
          <w:rFonts w:ascii="Arial" w:hAnsi="Arial" w:cs="Arial"/>
          <w:sz w:val="22"/>
          <w:szCs w:val="22"/>
        </w:rPr>
        <w:t>Smith, K</w:t>
      </w:r>
      <w:r w:rsidRPr="163372D6" w:rsidR="00D158BE">
        <w:rPr>
          <w:rFonts w:ascii="Arial" w:hAnsi="Arial" w:cs="Arial"/>
          <w:sz w:val="22"/>
          <w:szCs w:val="22"/>
        </w:rPr>
        <w:t>.</w:t>
      </w:r>
      <w:r w:rsidRPr="163372D6" w:rsidR="59FF9827">
        <w:rPr>
          <w:rFonts w:ascii="Arial" w:hAnsi="Arial" w:cs="Arial"/>
          <w:sz w:val="22"/>
          <w:szCs w:val="22"/>
        </w:rPr>
        <w:t xml:space="preserve"> A.</w:t>
      </w:r>
      <w:r w:rsidRPr="163372D6" w:rsidR="00D158BE">
        <w:rPr>
          <w:rFonts w:ascii="Arial" w:hAnsi="Arial" w:cs="Arial"/>
          <w:sz w:val="22"/>
          <w:szCs w:val="22"/>
        </w:rPr>
        <w:t xml:space="preserve"> (2016).</w:t>
      </w:r>
      <w:r w:rsidRPr="163372D6" w:rsidR="59FF9827">
        <w:rPr>
          <w:rFonts w:ascii="Arial" w:hAnsi="Arial" w:cs="Arial"/>
          <w:sz w:val="22"/>
          <w:szCs w:val="22"/>
        </w:rPr>
        <w:t xml:space="preserve"> </w:t>
      </w:r>
      <w:r w:rsidRPr="163372D6" w:rsidR="59FF9827">
        <w:rPr>
          <w:rFonts w:ascii="Arial" w:hAnsi="Arial" w:cs="Arial"/>
          <w:i w:val="1"/>
          <w:iCs w:val="1"/>
          <w:sz w:val="22"/>
          <w:szCs w:val="22"/>
        </w:rPr>
        <w:t xml:space="preserve">Training </w:t>
      </w:r>
      <w:r w:rsidRPr="163372D6" w:rsidR="00D158BE">
        <w:rPr>
          <w:rFonts w:ascii="Arial" w:hAnsi="Arial" w:cs="Arial"/>
          <w:i w:val="1"/>
          <w:iCs w:val="1"/>
          <w:sz w:val="22"/>
          <w:szCs w:val="22"/>
        </w:rPr>
        <w:t>i</w:t>
      </w:r>
      <w:r w:rsidRPr="163372D6" w:rsidR="59FF9827">
        <w:rPr>
          <w:rFonts w:ascii="Arial" w:hAnsi="Arial" w:cs="Arial"/>
          <w:i w:val="1"/>
          <w:iCs w:val="1"/>
          <w:sz w:val="22"/>
          <w:szCs w:val="22"/>
        </w:rPr>
        <w:t xml:space="preserve">mplementation of </w:t>
      </w:r>
      <w:r w:rsidRPr="163372D6" w:rsidR="00D158BE">
        <w:rPr>
          <w:rFonts w:ascii="Arial" w:hAnsi="Arial" w:cs="Arial"/>
          <w:i w:val="1"/>
          <w:iCs w:val="1"/>
          <w:sz w:val="22"/>
          <w:szCs w:val="22"/>
        </w:rPr>
        <w:t>b</w:t>
      </w:r>
      <w:r w:rsidRPr="163372D6" w:rsidR="59FF9827">
        <w:rPr>
          <w:rFonts w:ascii="Arial" w:hAnsi="Arial" w:cs="Arial"/>
          <w:i w:val="1"/>
          <w:iCs w:val="1"/>
          <w:sz w:val="22"/>
          <w:szCs w:val="22"/>
        </w:rPr>
        <w:t xml:space="preserve">ehavior </w:t>
      </w:r>
      <w:r w:rsidRPr="163372D6" w:rsidR="00D158BE">
        <w:rPr>
          <w:rFonts w:ascii="Arial" w:hAnsi="Arial" w:cs="Arial"/>
          <w:i w:val="1"/>
          <w:iCs w:val="1"/>
          <w:sz w:val="22"/>
          <w:szCs w:val="22"/>
        </w:rPr>
        <w:t>i</w:t>
      </w:r>
      <w:r w:rsidRPr="163372D6" w:rsidR="59FF9827">
        <w:rPr>
          <w:rFonts w:ascii="Arial" w:hAnsi="Arial" w:cs="Arial"/>
          <w:i w:val="1"/>
          <w:iCs w:val="1"/>
          <w:sz w:val="22"/>
          <w:szCs w:val="22"/>
        </w:rPr>
        <w:t xml:space="preserve">ntervention </w:t>
      </w:r>
      <w:r w:rsidRPr="163372D6" w:rsidR="00D158BE">
        <w:rPr>
          <w:rFonts w:ascii="Arial" w:hAnsi="Arial" w:cs="Arial"/>
          <w:i w:val="1"/>
          <w:iCs w:val="1"/>
          <w:sz w:val="22"/>
          <w:szCs w:val="22"/>
        </w:rPr>
        <w:t>p</w:t>
      </w:r>
      <w:r w:rsidRPr="163372D6" w:rsidR="59FF9827">
        <w:rPr>
          <w:rFonts w:ascii="Arial" w:hAnsi="Arial" w:cs="Arial"/>
          <w:i w:val="1"/>
          <w:iCs w:val="1"/>
          <w:sz w:val="22"/>
          <w:szCs w:val="22"/>
        </w:rPr>
        <w:t xml:space="preserve">lans using </w:t>
      </w:r>
      <w:r w:rsidRPr="163372D6" w:rsidR="00D158BE">
        <w:rPr>
          <w:rFonts w:ascii="Arial" w:hAnsi="Arial" w:cs="Arial"/>
          <w:i w:val="1"/>
          <w:iCs w:val="1"/>
          <w:sz w:val="22"/>
          <w:szCs w:val="22"/>
        </w:rPr>
        <w:t>b</w:t>
      </w:r>
      <w:r w:rsidRPr="163372D6" w:rsidR="59FF9827">
        <w:rPr>
          <w:rFonts w:ascii="Arial" w:hAnsi="Arial" w:cs="Arial"/>
          <w:i w:val="1"/>
          <w:iCs w:val="1"/>
          <w:sz w:val="22"/>
          <w:szCs w:val="22"/>
        </w:rPr>
        <w:t xml:space="preserve">ehavioral </w:t>
      </w:r>
      <w:r w:rsidRPr="163372D6" w:rsidR="00D158BE">
        <w:rPr>
          <w:rFonts w:ascii="Arial" w:hAnsi="Arial" w:cs="Arial"/>
          <w:i w:val="1"/>
          <w:iCs w:val="1"/>
          <w:sz w:val="22"/>
          <w:szCs w:val="22"/>
        </w:rPr>
        <w:t>s</w:t>
      </w:r>
      <w:r w:rsidRPr="163372D6" w:rsidR="59FF9827">
        <w:rPr>
          <w:rFonts w:ascii="Arial" w:hAnsi="Arial" w:cs="Arial"/>
          <w:i w:val="1"/>
          <w:iCs w:val="1"/>
          <w:sz w:val="22"/>
          <w:szCs w:val="22"/>
        </w:rPr>
        <w:t xml:space="preserve">kills </w:t>
      </w:r>
      <w:r w:rsidRPr="163372D6" w:rsidR="00D158BE">
        <w:rPr>
          <w:rFonts w:ascii="Arial" w:hAnsi="Arial" w:cs="Arial"/>
          <w:i w:val="1"/>
          <w:iCs w:val="1"/>
          <w:sz w:val="22"/>
          <w:szCs w:val="22"/>
        </w:rPr>
        <w:t>t</w:t>
      </w:r>
      <w:r w:rsidRPr="163372D6" w:rsidR="59FF9827">
        <w:rPr>
          <w:rFonts w:ascii="Arial" w:hAnsi="Arial" w:cs="Arial"/>
          <w:i w:val="1"/>
          <w:iCs w:val="1"/>
          <w:sz w:val="22"/>
          <w:szCs w:val="22"/>
        </w:rPr>
        <w:t>raining</w:t>
      </w:r>
      <w:r w:rsidRPr="163372D6" w:rsidR="59FF9827">
        <w:rPr>
          <w:rFonts w:ascii="Arial" w:hAnsi="Arial" w:cs="Arial"/>
          <w:sz w:val="22"/>
          <w:szCs w:val="22"/>
        </w:rPr>
        <w:t xml:space="preserve"> </w:t>
      </w:r>
      <w:r w:rsidRPr="163372D6" w:rsidR="00826A06">
        <w:rPr>
          <w:rFonts w:ascii="Arial" w:hAnsi="Arial" w:cs="Arial"/>
          <w:sz w:val="22"/>
          <w:szCs w:val="22"/>
        </w:rPr>
        <w:t>[</w:t>
      </w:r>
      <w:r w:rsidRPr="163372D6" w:rsidR="00F853E7">
        <w:rPr>
          <w:rFonts w:ascii="Arial" w:hAnsi="Arial" w:cs="Arial"/>
          <w:sz w:val="22"/>
          <w:szCs w:val="22"/>
        </w:rPr>
        <w:t xml:space="preserve">PowerPoint slides]. </w:t>
      </w:r>
      <w:r w:rsidRPr="163372D6" w:rsidR="59FF9827">
        <w:rPr>
          <w:rFonts w:ascii="Arial" w:hAnsi="Arial" w:cs="Arial"/>
          <w:sz w:val="22"/>
          <w:szCs w:val="22"/>
        </w:rPr>
        <w:t xml:space="preserve">Georgia Association for Positive Behavior Support Conference. </w:t>
      </w:r>
      <w:hyperlink r:id="Rcdd37c6f2a2e465e">
        <w:r w:rsidRPr="163372D6" w:rsidR="59FF9827">
          <w:rPr>
            <w:rStyle w:val="Hyperlink"/>
            <w:rFonts w:ascii="Arial" w:hAnsi="Arial" w:cs="Arial"/>
            <w:sz w:val="22"/>
            <w:szCs w:val="22"/>
          </w:rPr>
          <w:t>https://digitalcommons.georgiasouthern.edu/gapbs/2016/2016/30</w:t>
        </w:r>
      </w:hyperlink>
      <w:r w:rsidRPr="163372D6" w:rsidR="59FF9827">
        <w:rPr>
          <w:rFonts w:ascii="Arial" w:hAnsi="Arial" w:cs="Arial"/>
          <w:sz w:val="22"/>
          <w:szCs w:val="22"/>
        </w:rPr>
        <w:t xml:space="preserve"> </w:t>
      </w:r>
    </w:p>
    <w:p w:rsidRPr="00F65098" w:rsidR="00CF10BA" w:rsidP="002806D4" w:rsidRDefault="00F65098" w14:paraId="4B47A07E" w14:textId="5DEDA76F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 xml:space="preserve">Bambara, L. M., &amp; </w:t>
      </w:r>
      <w:proofErr w:type="spellStart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Knoster</w:t>
      </w:r>
      <w:proofErr w:type="spellEnd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, T. (2009). </w:t>
      </w:r>
      <w:r w:rsidRPr="00F65098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Designing positive behavior support plans</w:t>
      </w: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 (2nd ed.). American Association on Intellectual and Developmental Disabilities.</w:t>
      </w:r>
    </w:p>
    <w:p w:rsidRPr="00F65098" w:rsidR="500BEEC4" w:rsidP="002806D4" w:rsidRDefault="00A51738" w14:paraId="0E8980EA" w14:textId="0FAA80C3">
      <w:pPr>
        <w:ind w:left="720" w:hanging="72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Black, P., Henderson-Smith, L., &amp; </w:t>
      </w:r>
      <w:proofErr w:type="spellStart"/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Flinspach</w:t>
      </w:r>
      <w:proofErr w:type="spellEnd"/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S. (2021, September 21). </w:t>
      </w:r>
      <w:r w:rsidRPr="00F65098">
        <w:rPr>
          <w:rStyle w:val="Emphasis"/>
          <w:rFonts w:ascii="Arial" w:hAnsi="Arial" w:cs="Arial"/>
          <w:color w:val="000000" w:themeColor="text1"/>
          <w:sz w:val="22"/>
          <w:szCs w:val="22"/>
          <w:bdr w:val="none" w:color="auto" w:sz="0" w:space="0" w:frame="1"/>
          <w:shd w:val="clear" w:color="auto" w:fill="FFFFFF"/>
        </w:rPr>
        <w:t>Trauma-Informed, Resilience-Oriented Schools (TR) Toolkit</w:t>
      </w: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National Center for School Safety. </w:t>
      </w:r>
      <w:hyperlink w:history="1" r:id="rId14">
        <w:r w:rsidRPr="00F65098">
          <w:rPr>
            <w:rStyle w:val="Hyperlink"/>
            <w:rFonts w:ascii="Arial" w:hAnsi="Arial" w:cs="Arial"/>
            <w:color w:val="0019F0"/>
            <w:sz w:val="22"/>
            <w:szCs w:val="22"/>
            <w:bdr w:val="none" w:color="auto" w:sz="0" w:space="0" w:frame="1"/>
            <w:shd w:val="clear" w:color="auto" w:fill="FFFFFF"/>
          </w:rPr>
          <w:t>https://www.nc2s.org/resource/trauma-informed-resilience-oriented-schools-toolkit/</w:t>
        </w:r>
      </w:hyperlink>
    </w:p>
    <w:p w:rsidRPr="00F65098" w:rsidR="00F65098" w:rsidP="002806D4" w:rsidRDefault="00F65098" w14:paraId="6D8F3888" w14:textId="77777777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 xml:space="preserve">Cooper, J. O., Heron, T. E., &amp; </w:t>
      </w:r>
      <w:proofErr w:type="spellStart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Heward</w:t>
      </w:r>
      <w:proofErr w:type="spellEnd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, W. L. (2019). </w:t>
      </w:r>
      <w:r w:rsidRPr="00F65098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Applied behavior analysis</w:t>
      </w: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 (3rd ed.). Pearson.</w:t>
      </w:r>
    </w:p>
    <w:p w:rsidRPr="00F65098" w:rsidR="00F65098" w:rsidP="002806D4" w:rsidRDefault="00F65098" w14:paraId="4177BBD0" w14:textId="77777777">
      <w:pPr>
        <w:rPr>
          <w:rFonts w:ascii="Arial" w:hAnsi="Arial" w:cs="Arial" w:eastAsiaTheme="minorHAnsi"/>
          <w:i/>
          <w:iCs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Crone, D. A., &amp; Horner, R. H. (2003). </w:t>
      </w:r>
      <w:r w:rsidRPr="00F65098">
        <w:rPr>
          <w:rFonts w:ascii="Arial" w:hAnsi="Arial" w:cs="Arial" w:eastAsiaTheme="minorHAnsi"/>
          <w:i/>
          <w:iCs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Building positive behavior support systems in schools:</w:t>
      </w:r>
    </w:p>
    <w:p w:rsidRPr="00F65098" w:rsidR="00F65098" w:rsidP="002806D4" w:rsidRDefault="00F65098" w14:paraId="296D0410" w14:textId="77777777">
      <w:pPr>
        <w:ind w:firstLine="720"/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hAnsi="Arial" w:cs="Arial" w:eastAsiaTheme="minorHAnsi"/>
          <w:i/>
          <w:iCs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Functional behavioral assessment.</w:t>
      </w:r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 Guilford Press.</w:t>
      </w:r>
    </w:p>
    <w:p w:rsidRPr="00F65098" w:rsidR="00F65098" w:rsidP="002806D4" w:rsidRDefault="00F65098" w14:paraId="5641AA0F" w14:textId="77777777">
      <w:pPr>
        <w:rPr>
          <w:rFonts w:ascii="Arial" w:hAnsi="Arial" w:cs="Arial" w:eastAsiaTheme="minorHAnsi"/>
          <w:color w:val="000000" w:themeColor="text1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lang w:eastAsia="en-US"/>
          <w14:ligatures w14:val="none"/>
        </w:rPr>
        <w:t xml:space="preserve">Doran, G. T. (1981). There's a S.M.A.R.T. way to write management's goals and objectives. </w:t>
      </w:r>
    </w:p>
    <w:p w:rsidRPr="00F65098" w:rsidR="00F65098" w:rsidP="002806D4" w:rsidRDefault="00F65098" w14:paraId="3025EFE5" w14:textId="77777777">
      <w:pPr>
        <w:ind w:firstLine="720"/>
        <w:rPr>
          <w:rFonts w:ascii="Arial" w:hAnsi="Arial" w:cs="Arial" w:eastAsiaTheme="minorHAnsi"/>
          <w:color w:val="000000" w:themeColor="text1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hAnsi="Arial" w:cs="Arial" w:eastAsiaTheme="minorHAnsi"/>
          <w:i/>
          <w:iCs/>
          <w:color w:val="000000" w:themeColor="text1"/>
          <w:kern w:val="0"/>
          <w:sz w:val="22"/>
          <w:szCs w:val="22"/>
          <w:lang w:eastAsia="en-US"/>
          <w14:ligatures w14:val="none"/>
        </w:rPr>
        <w:t>Management Review</w:t>
      </w:r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lang w:eastAsia="en-US"/>
          <w14:ligatures w14:val="none"/>
        </w:rPr>
        <w:t>, 70(11), 35–36.</w:t>
      </w:r>
    </w:p>
    <w:p w:rsidRPr="00F65098" w:rsidR="00F65098" w:rsidP="002806D4" w:rsidRDefault="00F65098" w14:paraId="3A70F3FE" w14:textId="77777777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 xml:space="preserve">Durand, M. V., </w:t>
      </w:r>
      <w:proofErr w:type="spellStart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Hieneman</w:t>
      </w:r>
      <w:proofErr w:type="spellEnd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 xml:space="preserve">, M., Clarke, S., &amp; Zona, M. (2009). Optimistic parenting: Hope and help for parents with challenging children. In W. Sailor, G. Dunlap, G. </w:t>
      </w:r>
      <w:proofErr w:type="spellStart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Sugai</w:t>
      </w:r>
      <w:proofErr w:type="spellEnd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, &amp; R. Horner (Eds.), </w:t>
      </w:r>
      <w:r w:rsidRPr="00F65098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Handbook of positive behavior support</w:t>
      </w: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 (p. 233–256). Springer Science &amp; Business Media.</w:t>
      </w:r>
    </w:p>
    <w:p w:rsidRPr="00F65098" w:rsidR="00F65098" w:rsidP="002806D4" w:rsidRDefault="00F65098" w14:paraId="2CD54B77" w14:textId="01363FA4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 xml:space="preserve">Dwyer, K., </w:t>
      </w:r>
      <w:proofErr w:type="spellStart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Rozewski</w:t>
      </w:r>
      <w:proofErr w:type="spellEnd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, D., &amp; Simonsen, B. (2012). A comparison of function-based replacement behaviors for escape-motivated students. </w:t>
      </w:r>
      <w:r w:rsidRPr="00F65098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Journal of Emotional and Behavioral Disorders</w:t>
      </w: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, </w:t>
      </w:r>
      <w:r w:rsidRPr="00F65098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20</w:t>
      </w: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(2), 115-125. </w:t>
      </w:r>
      <w:hyperlink w:history="1" r:id="rId15">
        <w:r w:rsidRPr="00167FAA">
          <w:rPr>
            <w:rFonts w:ascii="Arial" w:hAnsi="Arial" w:eastAsia="Times New Roman" w:cs="Arial"/>
            <w:color w:val="0070C0"/>
            <w:kern w:val="0"/>
            <w:sz w:val="22"/>
            <w:szCs w:val="22"/>
            <w:u w:val="single"/>
            <w:lang w:eastAsia="en-US"/>
            <w14:ligatures w14:val="none"/>
          </w:rPr>
          <w:t>https://doi.org/10.1177/1063426610387432</w:t>
        </w:r>
      </w:hyperlink>
    </w:p>
    <w:p w:rsidRPr="00C844FD" w:rsidR="00C844FD" w:rsidP="002806D4" w:rsidRDefault="00C844FD" w14:paraId="34A600A9" w14:textId="67CDA114">
      <w:pPr>
        <w:ind w:left="720" w:hanging="720"/>
        <w:rPr>
          <w:rFonts w:ascii="Arial" w:hAnsi="Arial" w:eastAsia="Arial" w:cs="Arial"/>
          <w:i/>
          <w:iCs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Family Involvement in Functional Assessment Manual. (n.d.). 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Collaboration and family involvement in functional assessment: A guide for school professionals. </w:t>
      </w:r>
      <w:hyperlink w:history="1" r:id="rId16">
        <w:r w:rsidRPr="00C844FD">
          <w:rPr>
            <w:rStyle w:val="Hyperlink"/>
            <w:rFonts w:ascii="Arial" w:hAnsi="Arial" w:eastAsia="Arial" w:cs="Arial"/>
            <w:sz w:val="22"/>
            <w:szCs w:val="22"/>
          </w:rPr>
          <w:t>http://fifa.fmhi.usf.edu/FIFAManual.pdf</w:t>
        </w:r>
      </w:hyperlink>
      <w:r>
        <w:rPr>
          <w:rFonts w:ascii="Arial" w:hAnsi="Arial" w:eastAsia="Arial" w:cs="Arial"/>
          <w:i/>
          <w:iCs/>
          <w:sz w:val="22"/>
          <w:szCs w:val="22"/>
        </w:rPr>
        <w:t xml:space="preserve">  </w:t>
      </w:r>
    </w:p>
    <w:p w:rsidRPr="00F65098" w:rsidR="7D8210B6" w:rsidP="002806D4" w:rsidRDefault="04141B80" w14:paraId="696508AC" w14:textId="2E4553A1">
      <w:pPr>
        <w:ind w:left="720" w:hanging="720"/>
        <w:rPr>
          <w:rFonts w:ascii="Arial" w:hAnsi="Arial" w:eastAsia="Arial" w:cs="Arial"/>
          <w:sz w:val="22"/>
          <w:szCs w:val="22"/>
        </w:rPr>
      </w:pPr>
      <w:r w:rsidRPr="00F65098">
        <w:rPr>
          <w:rFonts w:ascii="Arial" w:hAnsi="Arial" w:eastAsia="Arial" w:cs="Arial"/>
          <w:sz w:val="22"/>
          <w:szCs w:val="22"/>
        </w:rPr>
        <w:t xml:space="preserve">Horner, R. H., &amp; Day, H. M. (1991). The effects of response efficiency on functionally equivalent competing behaviors. </w:t>
      </w:r>
      <w:r w:rsidRPr="00F65098">
        <w:rPr>
          <w:rFonts w:ascii="Arial" w:hAnsi="Arial" w:eastAsia="Arial" w:cs="Arial"/>
          <w:i/>
          <w:iCs/>
          <w:sz w:val="22"/>
          <w:szCs w:val="22"/>
        </w:rPr>
        <w:t>Journal of Applied Behavior Analysis</w:t>
      </w:r>
      <w:r w:rsidRPr="00F65098">
        <w:rPr>
          <w:rFonts w:ascii="Arial" w:hAnsi="Arial" w:eastAsia="Arial" w:cs="Arial"/>
          <w:sz w:val="22"/>
          <w:szCs w:val="22"/>
        </w:rPr>
        <w:t xml:space="preserve">, </w:t>
      </w:r>
      <w:r w:rsidRPr="00F65098">
        <w:rPr>
          <w:rFonts w:ascii="Arial" w:hAnsi="Arial" w:eastAsia="Arial" w:cs="Arial"/>
          <w:i/>
          <w:iCs/>
          <w:sz w:val="22"/>
          <w:szCs w:val="22"/>
        </w:rPr>
        <w:t>24</w:t>
      </w:r>
      <w:r w:rsidRPr="00F65098">
        <w:rPr>
          <w:rFonts w:ascii="Arial" w:hAnsi="Arial" w:eastAsia="Arial" w:cs="Arial"/>
          <w:sz w:val="22"/>
          <w:szCs w:val="22"/>
        </w:rPr>
        <w:t>(4), 719-732.</w:t>
      </w:r>
      <w:r w:rsidRPr="00F65098" w:rsidR="009F7F17">
        <w:rPr>
          <w:rFonts w:ascii="Arial" w:hAnsi="Arial" w:eastAsia="Arial" w:cs="Arial"/>
          <w:sz w:val="22"/>
          <w:szCs w:val="22"/>
        </w:rPr>
        <w:t xml:space="preserve"> </w:t>
      </w:r>
      <w:hyperlink w:history="1" r:id="rId17">
        <w:r w:rsidRPr="00F65098" w:rsidR="009F7F17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https://doi.org/10.1901/jaba.1991.24-719</w:t>
        </w:r>
      </w:hyperlink>
    </w:p>
    <w:p w:rsidRPr="00F65098" w:rsidR="008A4AC6" w:rsidP="002806D4" w:rsidRDefault="008A4AC6" w14:paraId="5C614128" w14:textId="7E1950F7">
      <w:pPr>
        <w:ind w:left="720" w:hanging="720"/>
        <w:rPr>
          <w:rFonts w:ascii="Arial" w:hAnsi="Arial" w:cs="Arial"/>
          <w:sz w:val="22"/>
          <w:szCs w:val="22"/>
          <w:shd w:val="clear" w:color="auto" w:fill="FFFFFF"/>
        </w:rPr>
      </w:pPr>
      <w:r w:rsidRPr="00F65098">
        <w:rPr>
          <w:rFonts w:ascii="Arial" w:hAnsi="Arial" w:cs="Arial"/>
          <w:sz w:val="22"/>
          <w:szCs w:val="22"/>
          <w:shd w:val="clear" w:color="auto" w:fill="FFFFFF"/>
        </w:rPr>
        <w:t xml:space="preserve">Johnson, E., </w:t>
      </w:r>
      <w:proofErr w:type="spellStart"/>
      <w:r w:rsidRPr="00F65098">
        <w:rPr>
          <w:rFonts w:ascii="Arial" w:hAnsi="Arial" w:cs="Arial"/>
          <w:sz w:val="22"/>
          <w:szCs w:val="22"/>
          <w:shd w:val="clear" w:color="auto" w:fill="FFFFFF"/>
        </w:rPr>
        <w:t>Mellard</w:t>
      </w:r>
      <w:proofErr w:type="spellEnd"/>
      <w:r w:rsidRPr="00F65098">
        <w:rPr>
          <w:rFonts w:ascii="Arial" w:hAnsi="Arial" w:cs="Arial"/>
          <w:sz w:val="22"/>
          <w:szCs w:val="22"/>
          <w:shd w:val="clear" w:color="auto" w:fill="FFFFFF"/>
        </w:rPr>
        <w:t>, D.F., Fuchs, D., &amp; McKnight, M.A. (2006). Responsiveness to intervention (RTI): How to do it. Lawrence, KS: National Research Center on Learning Disabilities.</w:t>
      </w:r>
    </w:p>
    <w:p w:rsidRPr="00F65098" w:rsidR="6C98BDD7" w:rsidP="002806D4" w:rsidRDefault="59FF9827" w14:paraId="15D4D36C" w14:textId="2C4421FC">
      <w:pPr>
        <w:ind w:left="720" w:hanging="720"/>
        <w:rPr>
          <w:rFonts w:ascii="Arial" w:hAnsi="Arial" w:cs="Arial"/>
          <w:sz w:val="22"/>
          <w:szCs w:val="22"/>
        </w:rPr>
      </w:pPr>
      <w:r w:rsidRPr="00F65098">
        <w:rPr>
          <w:rFonts w:ascii="Arial" w:hAnsi="Arial" w:cs="Arial"/>
          <w:sz w:val="22"/>
          <w:szCs w:val="22"/>
        </w:rPr>
        <w:t>Kern, L., &amp; Clarke, S. (2021). Antecedent and setting event interventions. In Bambara, L. M., &amp; Kern, L. (Eds.). (2021). </w:t>
      </w:r>
      <w:r w:rsidRPr="00167FAA">
        <w:rPr>
          <w:rFonts w:ascii="Arial" w:hAnsi="Arial" w:cs="Arial"/>
          <w:i/>
          <w:iCs/>
          <w:sz w:val="22"/>
          <w:szCs w:val="22"/>
        </w:rPr>
        <w:t xml:space="preserve"> In</w:t>
      </w:r>
      <w:r w:rsidRPr="00F65098">
        <w:rPr>
          <w:rFonts w:ascii="Arial" w:hAnsi="Arial" w:cs="Arial"/>
          <w:i/>
          <w:iCs/>
          <w:sz w:val="22"/>
          <w:szCs w:val="22"/>
        </w:rPr>
        <w:t>dividualized supports for students with problem behaviors: Designing positive behavior plans</w:t>
      </w:r>
      <w:r w:rsidRPr="00F65098">
        <w:rPr>
          <w:rFonts w:ascii="Arial" w:hAnsi="Arial" w:cs="Arial"/>
          <w:sz w:val="22"/>
          <w:szCs w:val="22"/>
        </w:rPr>
        <w:t>. Guilford Publications.</w:t>
      </w:r>
    </w:p>
    <w:p w:rsidRPr="00F65098" w:rsidR="70C4AD71" w:rsidP="002806D4" w:rsidRDefault="59FF9827" w14:paraId="42417FCA" w14:textId="17D19AC3">
      <w:pPr>
        <w:ind w:left="720" w:hanging="720"/>
        <w:rPr>
          <w:rFonts w:ascii="Arial" w:hAnsi="Arial" w:eastAsia="Arial" w:cs="Arial"/>
          <w:sz w:val="22"/>
          <w:szCs w:val="22"/>
        </w:rPr>
      </w:pPr>
      <w:r w:rsidRPr="00F65098">
        <w:rPr>
          <w:rFonts w:ascii="Arial" w:hAnsi="Arial" w:eastAsia="Arial" w:cs="Arial"/>
          <w:color w:val="000000" w:themeColor="text1"/>
          <w:sz w:val="22"/>
          <w:szCs w:val="22"/>
        </w:rPr>
        <w:t xml:space="preserve">Kern, L., &amp; Clemens, N. H. (2007). Antecedent strategies to promote appropriate classroom behavior. </w:t>
      </w:r>
      <w:r w:rsidRPr="00F6509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Psychology in the Schools</w:t>
      </w:r>
      <w:r w:rsidRPr="00F65098">
        <w:rPr>
          <w:rFonts w:ascii="Arial" w:hAnsi="Arial" w:eastAsia="Arial" w:cs="Arial"/>
          <w:color w:val="000000" w:themeColor="text1"/>
          <w:sz w:val="22"/>
          <w:szCs w:val="22"/>
        </w:rPr>
        <w:t xml:space="preserve">, </w:t>
      </w:r>
      <w:r w:rsidRPr="00F65098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44</w:t>
      </w:r>
      <w:r w:rsidRPr="00F65098">
        <w:rPr>
          <w:rFonts w:ascii="Arial" w:hAnsi="Arial" w:eastAsia="Arial" w:cs="Arial"/>
          <w:color w:val="000000" w:themeColor="text1"/>
          <w:sz w:val="22"/>
          <w:szCs w:val="22"/>
        </w:rPr>
        <w:t>(1), 65-75</w:t>
      </w:r>
      <w:r w:rsidRPr="00F65098">
        <w:rPr>
          <w:rFonts w:ascii="Arial" w:hAnsi="Arial" w:eastAsia="Arial" w:cs="Arial"/>
          <w:sz w:val="22"/>
          <w:szCs w:val="22"/>
        </w:rPr>
        <w:t>.</w:t>
      </w:r>
      <w:r w:rsidRPr="00F65098">
        <w:rPr>
          <w:rFonts w:ascii="Arial" w:hAnsi="Arial" w:eastAsia="Arial" w:cs="Arial"/>
          <w:color w:val="222222"/>
          <w:sz w:val="22"/>
          <w:szCs w:val="22"/>
        </w:rPr>
        <w:t xml:space="preserve"> </w:t>
      </w:r>
      <w:hyperlink r:id="rId18">
        <w:r w:rsidRPr="00F65098">
          <w:rPr>
            <w:rStyle w:val="Hyperlink"/>
            <w:rFonts w:ascii="Arial" w:hAnsi="Arial" w:eastAsia="Arial" w:cs="Arial"/>
            <w:sz w:val="22"/>
            <w:szCs w:val="22"/>
          </w:rPr>
          <w:t>https://doi.org/10.1002/pits.20206</w:t>
        </w:r>
      </w:hyperlink>
    </w:p>
    <w:p w:rsidRPr="00F65098" w:rsidR="70C4AD71" w:rsidP="002806D4" w:rsidRDefault="00F65098" w14:paraId="77748B6B" w14:textId="4CD8815C">
      <w:pPr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MacLeod, L. (2012). Making SMART Goals Smarter.</w:t>
      </w:r>
      <w:r w:rsidRPr="00F65098">
        <w:rPr>
          <w:rFonts w:ascii="Arial" w:hAnsi="Arial" w:cs="Arial" w:eastAsiaTheme="minorHAnsi"/>
          <w:i/>
          <w:iCs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 Physician Executive, 38</w:t>
      </w:r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(2), 68-70. </w:t>
      </w:r>
    </w:p>
    <w:p w:rsidRPr="00F65098" w:rsidR="000B44C0" w:rsidP="002806D4" w:rsidRDefault="00CF10BA" w14:paraId="397DD27A" w14:textId="28E784D5">
      <w:pPr>
        <w:ind w:left="720" w:hanging="720"/>
        <w:rPr>
          <w:rFonts w:ascii="Arial" w:hAnsi="Arial" w:eastAsia="Arial" w:cs="Arial"/>
          <w:color w:val="000000"/>
          <w:sz w:val="22"/>
          <w:szCs w:val="22"/>
          <w:u w:val="single"/>
          <w:bdr w:val="none" w:color="auto" w:sz="0" w:space="0" w:frame="1"/>
          <w:shd w:val="clear" w:color="auto" w:fill="FFFFFF"/>
        </w:rPr>
      </w:pP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McLaughlin, T. W., Denney, M. K., Snyder, P. A., &amp; Welsh, J. L. (2012). Behavior support interventions implemented by families of young children: Examination of contextual fit. </w:t>
      </w:r>
      <w:r w:rsidRPr="00F65098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Journal of Positive Behavior Interventions</w:t>
      </w: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r w:rsidRPr="00F65098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14</w:t>
      </w:r>
      <w:r w:rsidRPr="00F6509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(2), 87-97. </w:t>
      </w:r>
      <w:hyperlink r:id="rId19">
        <w:r w:rsidRPr="00F65098" w:rsidR="04141B80">
          <w:rPr>
            <w:rStyle w:val="Hyperlink"/>
            <w:rFonts w:ascii="Arial" w:hAnsi="Arial" w:eastAsia="Arial" w:cs="Arial"/>
            <w:sz w:val="22"/>
            <w:szCs w:val="22"/>
          </w:rPr>
          <w:t>https://doi.org/10.1177/1098300711411305</w:t>
        </w:r>
      </w:hyperlink>
    </w:p>
    <w:p w:rsidR="00C844FD" w:rsidP="002806D4" w:rsidRDefault="00C844FD" w14:paraId="7F61CFEF" w14:textId="338694A7">
      <w:pPr>
        <w:ind w:left="630" w:hanging="63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MO SW-PBS (2018). Tier III team workbook. </w:t>
      </w:r>
      <w:hyperlink w:history="1" r:id="rId20">
        <w:r w:rsidRPr="00C40AB5" w:rsidR="00167FAA">
          <w:rPr>
            <w:rStyle w:val="Hyperlink"/>
            <w:rFonts w:ascii="Arial" w:hAnsi="Arial" w:eastAsia="Arial" w:cs="Arial"/>
            <w:sz w:val="22"/>
            <w:szCs w:val="22"/>
          </w:rPr>
          <w:t>https://pbismissouri.org/tier-3-workbook-resources/</w:t>
        </w:r>
      </w:hyperlink>
      <w:r w:rsidR="00167FAA">
        <w:rPr>
          <w:rFonts w:ascii="Arial" w:hAnsi="Arial" w:eastAsia="Arial" w:cs="Arial"/>
          <w:sz w:val="22"/>
          <w:szCs w:val="22"/>
        </w:rPr>
        <w:t xml:space="preserve"> </w:t>
      </w:r>
    </w:p>
    <w:p w:rsidRPr="00F65098" w:rsidR="67225EB2" w:rsidP="002806D4" w:rsidRDefault="4707ADD8" w14:paraId="1D842F94" w14:textId="3B106790">
      <w:pPr>
        <w:ind w:left="630" w:hanging="630"/>
        <w:rPr>
          <w:rFonts w:ascii="Arial" w:hAnsi="Arial" w:eastAsia="Arial" w:cs="Arial"/>
          <w:color w:val="4472C4" w:themeColor="accent1"/>
          <w:sz w:val="22"/>
          <w:szCs w:val="22"/>
        </w:rPr>
      </w:pPr>
      <w:proofErr w:type="spellStart"/>
      <w:r w:rsidRPr="00F65098">
        <w:rPr>
          <w:rFonts w:ascii="Arial" w:hAnsi="Arial" w:eastAsia="Arial" w:cs="Arial"/>
          <w:sz w:val="22"/>
          <w:szCs w:val="22"/>
        </w:rPr>
        <w:t>Muharib</w:t>
      </w:r>
      <w:proofErr w:type="spellEnd"/>
      <w:r w:rsidRPr="00F65098">
        <w:rPr>
          <w:rFonts w:ascii="Arial" w:hAnsi="Arial" w:eastAsia="Arial" w:cs="Arial"/>
          <w:sz w:val="22"/>
          <w:szCs w:val="22"/>
        </w:rPr>
        <w:t xml:space="preserve">, R., &amp; Pennington, R. C. (2019). My Student Cannot Wait! Teaching Tolerance Following Functional Communication Training. </w:t>
      </w:r>
      <w:r w:rsidRPr="00F65098">
        <w:rPr>
          <w:rFonts w:ascii="Arial" w:hAnsi="Arial" w:eastAsia="Arial" w:cs="Arial"/>
          <w:i/>
          <w:iCs/>
          <w:sz w:val="22"/>
          <w:szCs w:val="22"/>
        </w:rPr>
        <w:t>Beyond Behavior</w:t>
      </w:r>
      <w:r w:rsidRPr="00F65098">
        <w:rPr>
          <w:rFonts w:ascii="Arial" w:hAnsi="Arial" w:eastAsia="Arial" w:cs="Arial"/>
          <w:sz w:val="22"/>
          <w:szCs w:val="22"/>
        </w:rPr>
        <w:t xml:space="preserve">, </w:t>
      </w:r>
      <w:r w:rsidRPr="00F65098">
        <w:rPr>
          <w:rFonts w:ascii="Arial" w:hAnsi="Arial" w:eastAsia="Arial" w:cs="Arial"/>
          <w:i/>
          <w:iCs/>
          <w:sz w:val="22"/>
          <w:szCs w:val="22"/>
        </w:rPr>
        <w:t>28</w:t>
      </w:r>
      <w:r w:rsidRPr="00F65098">
        <w:rPr>
          <w:rFonts w:ascii="Arial" w:hAnsi="Arial" w:eastAsia="Arial" w:cs="Arial"/>
          <w:sz w:val="22"/>
          <w:szCs w:val="22"/>
        </w:rPr>
        <w:t>(2), 99</w:t>
      </w:r>
      <w:r w:rsidRPr="00F65098">
        <w:rPr>
          <w:rFonts w:ascii="Arial" w:hAnsi="Arial" w:eastAsia="Arial" w:cs="Arial"/>
          <w:color w:val="333333"/>
          <w:sz w:val="22"/>
          <w:szCs w:val="22"/>
        </w:rPr>
        <w:t>-</w:t>
      </w:r>
      <w:r w:rsidRPr="00F65098">
        <w:rPr>
          <w:rFonts w:ascii="Arial" w:hAnsi="Arial" w:eastAsia="Arial" w:cs="Arial"/>
          <w:sz w:val="22"/>
          <w:szCs w:val="22"/>
        </w:rPr>
        <w:t>107.</w:t>
      </w:r>
      <w:r w:rsidRPr="00F65098">
        <w:rPr>
          <w:rFonts w:ascii="Arial" w:hAnsi="Arial" w:eastAsia="Arial" w:cs="Arial"/>
          <w:color w:val="333333"/>
          <w:sz w:val="22"/>
          <w:szCs w:val="22"/>
        </w:rPr>
        <w:t xml:space="preserve"> </w:t>
      </w:r>
      <w:hyperlink r:id="rId21">
        <w:r w:rsidRPr="00F65098">
          <w:rPr>
            <w:rStyle w:val="Hyperlink"/>
            <w:rFonts w:ascii="Arial" w:hAnsi="Arial" w:eastAsia="Arial" w:cs="Arial"/>
            <w:color w:val="0019F0"/>
            <w:sz w:val="22"/>
            <w:szCs w:val="22"/>
          </w:rPr>
          <w:t>https://doi.org/10.1177/1074295619852106</w:t>
        </w:r>
      </w:hyperlink>
    </w:p>
    <w:p w:rsidRPr="00F65098" w:rsidR="00F65098" w:rsidP="002806D4" w:rsidRDefault="00F65098" w14:paraId="4548770A" w14:textId="77777777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 xml:space="preserve">Myers, D., Wilkinson, S., </w:t>
      </w:r>
      <w:proofErr w:type="spellStart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VanLone</w:t>
      </w:r>
      <w:proofErr w:type="spellEnd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, J., Freeman, J., &amp; Simonsen, B. (2021). Supportive Classroom Contexts. In L. M. Bambara &amp; L. Kern (Eds.), </w:t>
      </w:r>
      <w:r w:rsidRPr="00F65098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Individualized supports for students with problem behaviors: Designing positive behavior plans</w:t>
      </w: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 (2nd ed., p. 56–77). Guilford Publications.</w:t>
      </w:r>
    </w:p>
    <w:p w:rsidR="004171AE" w:rsidP="002806D4" w:rsidRDefault="004171AE" w14:paraId="7165FA1D" w14:textId="7F8BEE06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4171AE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 xml:space="preserve">National Center on Intensive Interventions at the American Institutes for Research. (2021). Considerations for effective implementation: 5 elements of fidelity [Infographic]. </w:t>
      </w:r>
      <w:hyperlink w:tgtFrame="_blank" w:history="1" r:id="rId22">
        <w:r w:rsidRPr="004171AE">
          <w:rPr>
            <w:rStyle w:val="Hyperlink"/>
            <w:rFonts w:ascii="Arial" w:hAnsi="Arial" w:eastAsia="Times New Roman" w:cs="Arial"/>
            <w:kern w:val="0"/>
            <w:sz w:val="22"/>
            <w:szCs w:val="22"/>
            <w:lang w:eastAsia="en-US"/>
            <w14:ligatures w14:val="none"/>
          </w:rPr>
          <w:t>https://intensiveintervention.org/sites/default/files/5_Elements_Fidelity_508.pdf</w:t>
        </w:r>
      </w:hyperlink>
    </w:p>
    <w:p w:rsidRPr="00F65098" w:rsidR="00F65098" w:rsidP="002806D4" w:rsidRDefault="00F65098" w14:paraId="5973C713" w14:textId="7FE0E2B3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</w:pP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Radley, K. C., &amp; Dart, E. H. (2016). Antecedent strategies to promote children’s and adolescents’ compliance with adult requests: A review of the literature. </w:t>
      </w:r>
      <w:r w:rsidRPr="00F65098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Clinical Child and Family Psychology Review</w:t>
      </w: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, </w:t>
      </w:r>
      <w:r w:rsidRPr="00F65098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19</w:t>
      </w: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(1), 39-54. </w:t>
      </w:r>
      <w:hyperlink w:history="1" r:id="rId23">
        <w:r w:rsidRPr="00167FAA">
          <w:rPr>
            <w:rFonts w:ascii="Arial" w:hAnsi="Arial" w:eastAsia="Times New Roman" w:cs="Arial"/>
            <w:color w:val="0070C0"/>
            <w:kern w:val="0"/>
            <w:sz w:val="22"/>
            <w:szCs w:val="22"/>
            <w:u w:val="single"/>
            <w:lang w:eastAsia="en-US"/>
            <w14:ligatures w14:val="none"/>
          </w:rPr>
          <w:t>https://doi.org/10.1007/s10567-015-0197-3</w:t>
        </w:r>
      </w:hyperlink>
    </w:p>
    <w:p w:rsidRPr="00F65098" w:rsidR="6C98BDD7" w:rsidP="002806D4" w:rsidRDefault="00F65098" w14:paraId="0301F922" w14:textId="740E91AD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</w:pPr>
      <w:proofErr w:type="spellStart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Reichle</w:t>
      </w:r>
      <w:proofErr w:type="spellEnd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 xml:space="preserve">, J., </w:t>
      </w:r>
      <w:proofErr w:type="spellStart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Simacek</w:t>
      </w:r>
      <w:proofErr w:type="spellEnd"/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, J., Halle, J., &amp; Bambara, L. (2021). Teaching alternative skills. In L. M. Bambara &amp; L. Kern (Eds.), </w:t>
      </w:r>
      <w:r w:rsidRPr="00F65098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eastAsia="en-US"/>
          <w14:ligatures w14:val="none"/>
        </w:rPr>
        <w:t>Individualized supports for students with problem behaviors: Designing positive behavior plans</w:t>
      </w:r>
      <w:r w:rsidRPr="00F65098">
        <w:rPr>
          <w:rFonts w:ascii="Arial" w:hAnsi="Arial" w:eastAsia="Times New Roman" w:cs="Arial"/>
          <w:color w:val="000000"/>
          <w:kern w:val="0"/>
          <w:sz w:val="22"/>
          <w:szCs w:val="22"/>
          <w:lang w:eastAsia="en-US"/>
          <w14:ligatures w14:val="none"/>
        </w:rPr>
        <w:t> (2nd ed., p. 321–366). Guilford Publications.</w:t>
      </w:r>
    </w:p>
    <w:p w:rsidRPr="00F65098" w:rsidR="007A2EBA" w:rsidP="002806D4" w:rsidRDefault="59FF9827" w14:paraId="71BA2BC0" w14:textId="3F106C11">
      <w:pPr>
        <w:ind w:left="720" w:hanging="720"/>
        <w:rPr>
          <w:rFonts w:ascii="Arial" w:hAnsi="Arial" w:cs="Arial"/>
          <w:sz w:val="22"/>
          <w:szCs w:val="22"/>
        </w:rPr>
      </w:pPr>
      <w:r w:rsidRPr="00F65098">
        <w:rPr>
          <w:rFonts w:ascii="Arial" w:hAnsi="Arial" w:cs="Arial"/>
          <w:sz w:val="22"/>
          <w:szCs w:val="22"/>
        </w:rPr>
        <w:t xml:space="preserve">Robertson, R. E., </w:t>
      </w:r>
      <w:proofErr w:type="spellStart"/>
      <w:r w:rsidRPr="00F65098">
        <w:rPr>
          <w:rFonts w:ascii="Arial" w:hAnsi="Arial" w:cs="Arial"/>
          <w:sz w:val="22"/>
          <w:szCs w:val="22"/>
        </w:rPr>
        <w:t>Kokina</w:t>
      </w:r>
      <w:proofErr w:type="spellEnd"/>
      <w:r w:rsidRPr="00F65098">
        <w:rPr>
          <w:rFonts w:ascii="Arial" w:hAnsi="Arial" w:cs="Arial"/>
          <w:sz w:val="22"/>
          <w:szCs w:val="22"/>
        </w:rPr>
        <w:t xml:space="preserve">, A. A., &amp; Moore, D. W. (2020). Barriers to Implementing Behavior Intervention Plans: Results of a Statewide Survey. Journal of Positive Behavior Interventions, 22(3), 145-155. </w:t>
      </w:r>
      <w:hyperlink r:id="rId24">
        <w:r w:rsidRPr="00F65098">
          <w:rPr>
            <w:rStyle w:val="Hyperlink"/>
            <w:rFonts w:ascii="Arial" w:hAnsi="Arial" w:cs="Arial"/>
            <w:sz w:val="22"/>
            <w:szCs w:val="22"/>
          </w:rPr>
          <w:t>https://doi.org/10.1177/1098300720908013</w:t>
        </w:r>
      </w:hyperlink>
    </w:p>
    <w:p w:rsidRPr="00F65098" w:rsidR="002C2934" w:rsidP="002806D4" w:rsidRDefault="00CF10BA" w14:paraId="01AB303B" w14:textId="70F31CD1" w14:noSpellErr="1">
      <w:pPr>
        <w:ind w:left="720" w:hanging="720"/>
        <w:rPr>
          <w:rFonts w:ascii="Arial" w:hAnsi="Arial" w:cs="Arial"/>
          <w:color w:val="0019F0"/>
          <w:sz w:val="22"/>
          <w:szCs w:val="22"/>
          <w:bdr w:val="none" w:color="auto" w:sz="0" w:space="0" w:frame="1"/>
          <w:shd w:val="clear" w:color="auto" w:fill="FFFFFF"/>
        </w:rPr>
      </w:pPr>
      <w:r w:rsidRPr="00F65098" w:rsidR="00CF10BA"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  <w:lastRenderedPageBreak/>
        <w:t>Special Education Programs and Services, Functional Behavioral Assessments and Behavior Intervention Plans § 0520-01-09.24</w:t>
      </w:r>
      <w:r w:rsidRPr="00F65098" w:rsidR="1FEF53A0"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  <w:r w:rsidRPr="00F65098" w:rsidR="00CF10BA"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  <w:t>(2022).</w:t>
      </w:r>
      <w:r w:rsidRPr="00F65098" w:rsidR="51059D52"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  <w:r w:rsidRPr="00F65098" w:rsidR="00CF10BA"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  <w:t> </w:t>
      </w:r>
      <w:r>
        <w:fldChar w:fldCharType="begin"/>
      </w:r>
      <w:r>
        <w:instrText>HYPERLINK "https://www.tn.gov/content/dam/tn/stateboardofeducation/documents/2022-sbe-meetings/february-4%2C-2022-sbe-meeting/2-4-22%20IV%20C%20Special%20Ed%20Programs%20and%20Services%20Rule%200520-01-09-.02%2C%20.23%20and%20.24%20Clean.pdf" \t "_blank"</w:instrText>
      </w:r>
      <w:r>
        <w:fldChar w:fldCharType="separate"/>
      </w:r>
      <w:r w:rsidRPr="00F65098" w:rsidR="00CF10BA">
        <w:rPr>
          <w:rStyle w:val="Hyperlink"/>
          <w:rFonts w:ascii="Arial" w:hAnsi="Arial" w:cs="Arial"/>
          <w:color w:val="0019F0"/>
          <w:sz w:val="22"/>
          <w:szCs w:val="22"/>
          <w:bdr w:val="none" w:color="auto" w:sz="0" w:space="0" w:frame="1"/>
        </w:rPr>
        <w:t>https://www.tn.gov/content/dam/tn/stateboardofeducation/documents/2022-sbe-meetings/february-4%2C-2022-sbe-meeting/2-4-22%20IV%20C%20Special%20Ed%20Programs%20and%20Services%20Rule%200520-01-09-.02%2C%20.23%20and%20.24%20Clean.pdf</w:t>
      </w:r>
      <w:r>
        <w:rPr>
          <w:rStyle w:val="Hyperlink"/>
          <w:rFonts w:ascii="Arial" w:hAnsi="Arial" w:cs="Arial"/>
          <w:color w:val="0019F0"/>
          <w:sz w:val="22"/>
          <w:szCs w:val="22"/>
          <w:bdr w:val="none" w:color="auto" w:sz="0" w:space="0" w:frame="1"/>
        </w:rPr>
        <w:fldChar w:fldCharType="end"/>
      </w:r>
      <w:r w:rsidRPr="00F65098" w:rsidR="00CF10BA">
        <w:rPr>
          <w:rFonts w:ascii="Arial" w:hAnsi="Arial" w:cs="Arial"/>
          <w:color w:val="0019F0"/>
          <w:sz w:val="22"/>
          <w:szCs w:val="22"/>
          <w:bdr w:val="none" w:color="auto" w:sz="0" w:space="0" w:frame="1"/>
          <w:shd w:val="clear" w:color="auto" w:fill="FFFFFF"/>
        </w:rPr>
        <w:t>  </w:t>
      </w:r>
    </w:p>
    <w:p w:rsidRPr="00F65098" w:rsidR="002C2934" w:rsidP="002806D4" w:rsidRDefault="008A4AC6" w14:paraId="26A80AB3" w14:textId="299A2772">
      <w:pPr>
        <w:ind w:left="720" w:hanging="720"/>
        <w:rPr>
          <w:rFonts w:ascii="Arial" w:hAnsi="Arial" w:cs="Arial"/>
          <w:sz w:val="22"/>
          <w:szCs w:val="22"/>
          <w:bdr w:val="none" w:color="auto" w:sz="0" w:space="0" w:frame="1"/>
          <w:shd w:val="clear" w:color="auto" w:fill="FFFFFF"/>
        </w:rPr>
      </w:pPr>
      <w:proofErr w:type="spellStart"/>
      <w:r w:rsidRPr="00F65098">
        <w:rPr>
          <w:rFonts w:ascii="Arial" w:hAnsi="Arial" w:cs="Arial"/>
          <w:sz w:val="22"/>
          <w:szCs w:val="22"/>
          <w:shd w:val="clear" w:color="auto" w:fill="FFFFFF"/>
        </w:rPr>
        <w:t>Sugai</w:t>
      </w:r>
      <w:proofErr w:type="spellEnd"/>
      <w:r w:rsidRPr="00F65098">
        <w:rPr>
          <w:rFonts w:ascii="Arial" w:hAnsi="Arial" w:cs="Arial"/>
          <w:sz w:val="22"/>
          <w:szCs w:val="22"/>
          <w:shd w:val="clear" w:color="auto" w:fill="FFFFFF"/>
        </w:rPr>
        <w:t>, G., Fallon, L., &amp; O’Keefe, B. (2012). SWPBS: Reconceptualizing &amp; studying culture. </w:t>
      </w:r>
      <w:r w:rsidRPr="00F65098">
        <w:rPr>
          <w:rFonts w:ascii="Arial" w:hAnsi="Arial" w:cs="Arial"/>
          <w:i/>
          <w:iCs/>
          <w:sz w:val="22"/>
          <w:szCs w:val="22"/>
          <w:shd w:val="clear" w:color="auto" w:fill="FFFFFF"/>
        </w:rPr>
        <w:t>Center for Behavioral Education &amp; Research</w:t>
      </w:r>
      <w:r w:rsidRPr="00F6509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Pr="00F65098" w:rsidR="00F65098" w:rsidP="002806D4" w:rsidRDefault="00F65098" w14:paraId="44DF553C" w14:textId="77777777">
      <w:pPr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Strain, P., Joseph, J., </w:t>
      </w:r>
      <w:proofErr w:type="spellStart"/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Hemmeter</w:t>
      </w:r>
      <w:proofErr w:type="spellEnd"/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, M. L., Barton, E., &amp; Fox, L. (2017). Tips for responding to </w:t>
      </w:r>
    </w:p>
    <w:p w:rsidRPr="00F65098" w:rsidR="002C2934" w:rsidP="002806D4" w:rsidRDefault="00F65098" w14:paraId="2126B88A" w14:textId="66C56DC1">
      <w:pPr>
        <w:ind w:firstLine="720"/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</w:pPr>
      <w:r w:rsidRPr="00F65098">
        <w:rPr>
          <w:rFonts w:ascii="Arial" w:hAnsi="Arial" w:cs="Arial" w:eastAsiaTheme="minorHAnsi"/>
          <w:color w:val="000000" w:themeColor="text1"/>
          <w:kern w:val="0"/>
          <w:sz w:val="22"/>
          <w:szCs w:val="22"/>
          <w:shd w:val="clear" w:color="auto" w:fill="FFFFFF"/>
          <w:lang w:eastAsia="en-US"/>
          <w14:ligatures w14:val="none"/>
        </w:rPr>
        <w:t>challenging behavior in young children.</w:t>
      </w:r>
    </w:p>
    <w:p w:rsidR="006B0B7B" w:rsidP="002806D4" w:rsidRDefault="006B0B7B" w14:paraId="2BD0D4EA" w14:textId="17A43B48">
      <w:pPr>
        <w:ind w:left="720" w:hanging="720"/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</w:pPr>
      <w:r w:rsidRPr="006B0B7B"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Tennessee Department of Education (2016). </w:t>
      </w:r>
      <w:r w:rsidRPr="006B0B7B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 w:frame="1"/>
          <w:shd w:val="clear" w:color="auto" w:fill="FFFFFF"/>
        </w:rPr>
        <w:t>Response to instruction and intervention for behavior (RTI</w:t>
      </w:r>
      <w:r w:rsidRPr="006B0B7B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 w:frame="1"/>
          <w:shd w:val="clear" w:color="auto" w:fill="FFFFFF"/>
          <w:vertAlign w:val="superscript"/>
        </w:rPr>
        <w:t>2</w:t>
      </w:r>
      <w:r w:rsidRPr="006B0B7B">
        <w:rPr>
          <w:rFonts w:ascii="Arial" w:hAnsi="Arial" w:cs="Arial"/>
          <w:i/>
          <w:iCs/>
          <w:color w:val="000000"/>
          <w:sz w:val="22"/>
          <w:szCs w:val="22"/>
          <w:bdr w:val="none" w:color="auto" w:sz="0" w:space="0" w:frame="1"/>
          <w:shd w:val="clear" w:color="auto" w:fill="FFFFFF"/>
        </w:rPr>
        <w:t>-B) framework.</w:t>
      </w:r>
      <w:r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  <w:hyperlink w:history="1" r:id="rId25">
        <w:r w:rsidRPr="00F5366D">
          <w:rPr>
            <w:rStyle w:val="Hyperlink"/>
            <w:rFonts w:ascii="Arial" w:hAnsi="Arial" w:cs="Arial"/>
            <w:sz w:val="22"/>
            <w:szCs w:val="22"/>
            <w:bdr w:val="none" w:color="auto" w:sz="0" w:space="0" w:frame="1"/>
            <w:shd w:val="clear" w:color="auto" w:fill="FFFFFF"/>
          </w:rPr>
          <w:t>https://www.tn.gov/content/dam/tn/education/special-education/rti/rti2b_framework.pdf</w:t>
        </w:r>
      </w:hyperlink>
      <w:r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</w:p>
    <w:p w:rsidRPr="00F65098" w:rsidR="00CF10BA" w:rsidP="002806D4" w:rsidRDefault="008A4AC6" w14:paraId="467678B8" w14:textId="40021AF4">
      <w:pPr>
        <w:ind w:left="720" w:hanging="720"/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</w:pPr>
      <w:r w:rsidRPr="00F65098" w:rsidR="008A4AC6">
        <w:rPr>
          <w:rFonts w:ascii="Arial" w:hAnsi="Arial" w:cs="Arial"/>
          <w:color w:val="000000"/>
          <w:sz w:val="22"/>
          <w:szCs w:val="22"/>
          <w:bdr w:val="none" w:color="auto" w:sz="0" w:space="0" w:frame="1"/>
          <w:shd w:val="clear" w:color="auto" w:fill="FFFFFF"/>
        </w:rPr>
        <w:t>Tennessee Department of Education. (2023, September). </w:t>
      </w:r>
      <w:r w:rsidRPr="2070EA96" w:rsidR="008A4AC6">
        <w:rPr>
          <w:rFonts w:ascii="Arial" w:hAnsi="Arial" w:cs="Arial"/>
          <w:i w:val="1"/>
          <w:iCs w:val="1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Response to instruction and intervention framework. </w:t>
      </w:r>
      <w:hyperlink w:history="1" r:id="Re3994e20dc23464f">
        <w:r w:rsidRPr="00F65098" w:rsidR="008A4AC6">
          <w:rPr>
            <w:rStyle w:val="Hyperlink"/>
            <w:rFonts w:ascii="Arial" w:hAnsi="Arial" w:cs="Arial"/>
            <w:sz w:val="22"/>
            <w:szCs w:val="22"/>
            <w:bdr w:val="none" w:color="auto" w:sz="0" w:space="0" w:frame="1"/>
            <w:shd w:val="clear" w:color="auto" w:fill="FFFFFF"/>
          </w:rPr>
          <w:t>https://www.tn.gov/content/dam/tn/education/special-education/rti/Updated_RTI2_Manual.pdf</w:t>
        </w:r>
      </w:hyperlink>
    </w:p>
    <w:p w:rsidR="713BEDE8" w:rsidP="2070EA96" w:rsidRDefault="713BEDE8" w14:paraId="2F55FC49" w14:textId="3ECF9868">
      <w:pPr>
        <w:ind w:left="720" w:hanging="720"/>
        <w:rPr>
          <w:rFonts w:ascii="Arial" w:hAnsi="Arial" w:cs="Arial"/>
          <w:i w:val="0"/>
          <w:iCs w:val="0"/>
          <w:sz w:val="22"/>
          <w:szCs w:val="22"/>
        </w:rPr>
      </w:pPr>
      <w:r w:rsidRPr="2070EA96" w:rsidR="713BEDE8">
        <w:rPr>
          <w:rFonts w:ascii="Arial" w:hAnsi="Arial" w:cs="Arial"/>
          <w:sz w:val="22"/>
          <w:szCs w:val="22"/>
        </w:rPr>
        <w:t xml:space="preserve">Tennessee Department of Education. (2024, September). </w:t>
      </w:r>
      <w:r w:rsidRPr="2070EA96" w:rsidR="713BEDE8">
        <w:rPr>
          <w:rFonts w:ascii="Arial" w:hAnsi="Arial" w:cs="Arial"/>
          <w:i w:val="1"/>
          <w:iCs w:val="1"/>
          <w:sz w:val="22"/>
          <w:szCs w:val="22"/>
        </w:rPr>
        <w:t xml:space="preserve">Dyslexia resource guide: An update to guidance </w:t>
      </w:r>
      <w:r w:rsidRPr="2070EA96" w:rsidR="713BEDE8">
        <w:rPr>
          <w:rFonts w:ascii="Arial" w:hAnsi="Arial" w:cs="Arial"/>
          <w:i w:val="1"/>
          <w:iCs w:val="1"/>
          <w:sz w:val="22"/>
          <w:szCs w:val="22"/>
        </w:rPr>
        <w:t>regarding</w:t>
      </w:r>
      <w:r w:rsidRPr="2070EA96" w:rsidR="713BEDE8">
        <w:rPr>
          <w:rFonts w:ascii="Arial" w:hAnsi="Arial" w:cs="Arial"/>
          <w:i w:val="1"/>
          <w:iCs w:val="1"/>
          <w:sz w:val="22"/>
          <w:szCs w:val="22"/>
        </w:rPr>
        <w:t xml:space="preserve"> characteristics of dyslexia and dyslexia. </w:t>
      </w:r>
      <w:hyperlink r:id="R5100d0b64c92484e">
        <w:r w:rsidRPr="2070EA96" w:rsidR="713BEDE8">
          <w:rPr>
            <w:rStyle w:val="Hyperlink"/>
            <w:rFonts w:ascii="Arial" w:hAnsi="Arial" w:cs="Arial"/>
            <w:i w:val="1"/>
            <w:iCs w:val="1"/>
            <w:sz w:val="22"/>
            <w:szCs w:val="22"/>
          </w:rPr>
          <w:t>https://www.tn.gov/content/dam/tn/education/special-education/dys/Dyslexia_Resource_Guide_September_2024.pdf</w:t>
        </w:r>
      </w:hyperlink>
      <w:r w:rsidRPr="2070EA96" w:rsidR="713BEDE8">
        <w:rPr>
          <w:rFonts w:ascii="Arial" w:hAnsi="Arial" w:cs="Arial"/>
          <w:i w:val="1"/>
          <w:iCs w:val="1"/>
          <w:sz w:val="22"/>
          <w:szCs w:val="22"/>
        </w:rPr>
        <w:t xml:space="preserve"> </w:t>
      </w:r>
    </w:p>
    <w:p w:rsidR="006B0B7B" w:rsidP="002806D4" w:rsidRDefault="006B0B7B" w14:paraId="30377D3F" w14:textId="2DF52A27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sz w:val="22"/>
          <w:szCs w:val="22"/>
        </w:rPr>
      </w:pPr>
      <w:r w:rsidRPr="006B0B7B">
        <w:rPr>
          <w:rFonts w:ascii="Arial" w:hAnsi="Arial" w:eastAsia="Times New Roman" w:cs="Arial"/>
          <w:color w:val="000000"/>
          <w:sz w:val="22"/>
          <w:szCs w:val="22"/>
        </w:rPr>
        <w:t>United States Department of Education, Office of Special Education and Rehabilitative Services (2022). Questions and Answers: Addressing the Needs of Children with Disabilities and IDEA's Discipline Provisions. </w:t>
      </w:r>
      <w:hyperlink w:history="1" r:id="rId27">
        <w:r w:rsidRPr="00F5366D">
          <w:rPr>
            <w:rStyle w:val="Hyperlink"/>
            <w:rFonts w:ascii="Arial" w:hAnsi="Arial" w:eastAsia="Times New Roman" w:cs="Arial"/>
            <w:sz w:val="22"/>
            <w:szCs w:val="22"/>
          </w:rPr>
          <w:t>https://sites.ed.gov/idea/files/qa-addressing-the-needs-of-children-with-disabilities-and-idea-discipline-provisions.pdf</w:t>
        </w:r>
      </w:hyperlink>
      <w:r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</w:p>
    <w:p w:rsidRPr="00F65098" w:rsidR="00F65098" w:rsidP="002806D4" w:rsidRDefault="00F65098" w14:paraId="0A4E4D35" w14:textId="4F5B075D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sz w:val="22"/>
          <w:szCs w:val="22"/>
        </w:rPr>
      </w:pPr>
      <w:r w:rsidRPr="00F65098">
        <w:rPr>
          <w:rFonts w:ascii="Arial" w:hAnsi="Arial" w:eastAsia="Times New Roman" w:cs="Arial"/>
          <w:color w:val="000000"/>
          <w:sz w:val="22"/>
          <w:szCs w:val="22"/>
        </w:rPr>
        <w:t xml:space="preserve">Vargo, K. K., &amp; </w:t>
      </w:r>
      <w:proofErr w:type="spellStart"/>
      <w:r w:rsidRPr="00F65098">
        <w:rPr>
          <w:rFonts w:ascii="Arial" w:hAnsi="Arial" w:eastAsia="Times New Roman" w:cs="Arial"/>
          <w:color w:val="000000"/>
          <w:sz w:val="22"/>
          <w:szCs w:val="22"/>
        </w:rPr>
        <w:t>Gushanas</w:t>
      </w:r>
      <w:proofErr w:type="spellEnd"/>
      <w:r w:rsidRPr="00F65098">
        <w:rPr>
          <w:rFonts w:ascii="Arial" w:hAnsi="Arial" w:eastAsia="Times New Roman" w:cs="Arial"/>
          <w:color w:val="000000"/>
          <w:sz w:val="22"/>
          <w:szCs w:val="22"/>
        </w:rPr>
        <w:t>, C. M. (2023). Considerations before implementing punishment-based procedures in the classroom. </w:t>
      </w:r>
      <w:r w:rsidRPr="00F65098">
        <w:rPr>
          <w:rFonts w:ascii="Arial" w:hAnsi="Arial" w:eastAsia="Times New Roman" w:cs="Arial"/>
          <w:i/>
          <w:iCs/>
          <w:color w:val="000000"/>
          <w:sz w:val="22"/>
          <w:szCs w:val="22"/>
        </w:rPr>
        <w:t>Intervention in School and Clinic</w:t>
      </w:r>
      <w:r w:rsidRPr="00F65098">
        <w:rPr>
          <w:rFonts w:ascii="Arial" w:hAnsi="Arial" w:eastAsia="Times New Roman" w:cs="Arial"/>
          <w:color w:val="000000"/>
          <w:sz w:val="22"/>
          <w:szCs w:val="22"/>
        </w:rPr>
        <w:t>, </w:t>
      </w:r>
      <w:r w:rsidRPr="00F65098">
        <w:rPr>
          <w:rFonts w:ascii="Arial" w:hAnsi="Arial" w:eastAsia="Times New Roman" w:cs="Arial"/>
          <w:i/>
          <w:iCs/>
          <w:color w:val="000000"/>
          <w:sz w:val="22"/>
          <w:szCs w:val="22"/>
        </w:rPr>
        <w:t>59</w:t>
      </w:r>
      <w:r w:rsidRPr="00F65098">
        <w:rPr>
          <w:rFonts w:ascii="Arial" w:hAnsi="Arial" w:eastAsia="Times New Roman" w:cs="Arial"/>
          <w:color w:val="000000"/>
          <w:sz w:val="22"/>
          <w:szCs w:val="22"/>
        </w:rPr>
        <w:t>(5), 303-311. </w:t>
      </w:r>
      <w:hyperlink w:history="1" r:id="rId28">
        <w:r w:rsidRPr="00167FAA">
          <w:rPr>
            <w:rFonts w:ascii="Arial" w:hAnsi="Arial" w:eastAsia="Times New Roman" w:cs="Arial"/>
            <w:color w:val="0070C0"/>
            <w:sz w:val="22"/>
            <w:szCs w:val="22"/>
            <w:u w:val="single"/>
          </w:rPr>
          <w:t>https://doi.org/10.1177/10534512231175158</w:t>
        </w:r>
      </w:hyperlink>
    </w:p>
    <w:p w:rsidRPr="00F65098" w:rsidR="00F65098" w:rsidP="002806D4" w:rsidRDefault="00F65098" w14:paraId="78F48F91" w14:textId="77777777">
      <w:pPr>
        <w:shd w:val="clear" w:color="auto" w:fill="FFFFFF"/>
        <w:ind w:left="720" w:right="75" w:hanging="720"/>
        <w:rPr>
          <w:rFonts w:ascii="Arial" w:hAnsi="Arial" w:eastAsia="Times New Roman" w:cs="Arial"/>
          <w:color w:val="000000"/>
          <w:sz w:val="22"/>
          <w:szCs w:val="22"/>
        </w:rPr>
      </w:pPr>
      <w:r w:rsidRPr="00F65098">
        <w:rPr>
          <w:rFonts w:ascii="Arial" w:hAnsi="Arial" w:eastAsia="Times New Roman" w:cs="Arial"/>
          <w:color w:val="000000"/>
          <w:sz w:val="22"/>
          <w:szCs w:val="22"/>
        </w:rPr>
        <w:t xml:space="preserve">Wood, C. L., </w:t>
      </w:r>
      <w:proofErr w:type="spellStart"/>
      <w:r w:rsidRPr="00F65098">
        <w:rPr>
          <w:rFonts w:ascii="Arial" w:hAnsi="Arial" w:eastAsia="Times New Roman" w:cs="Arial"/>
          <w:color w:val="000000"/>
          <w:sz w:val="22"/>
          <w:szCs w:val="22"/>
        </w:rPr>
        <w:t>Kisinger</w:t>
      </w:r>
      <w:proofErr w:type="spellEnd"/>
      <w:r w:rsidRPr="00F65098">
        <w:rPr>
          <w:rFonts w:ascii="Arial" w:hAnsi="Arial" w:eastAsia="Times New Roman" w:cs="Arial"/>
          <w:color w:val="000000"/>
          <w:sz w:val="22"/>
          <w:szCs w:val="22"/>
        </w:rPr>
        <w:t xml:space="preserve">, K. W., </w:t>
      </w:r>
      <w:proofErr w:type="spellStart"/>
      <w:r w:rsidRPr="00F65098">
        <w:rPr>
          <w:rFonts w:ascii="Arial" w:hAnsi="Arial" w:eastAsia="Times New Roman" w:cs="Arial"/>
          <w:color w:val="000000"/>
          <w:sz w:val="22"/>
          <w:szCs w:val="22"/>
        </w:rPr>
        <w:t>Brosh</w:t>
      </w:r>
      <w:proofErr w:type="spellEnd"/>
      <w:r w:rsidRPr="00F65098">
        <w:rPr>
          <w:rFonts w:ascii="Arial" w:hAnsi="Arial" w:eastAsia="Times New Roman" w:cs="Arial"/>
          <w:color w:val="000000"/>
          <w:sz w:val="22"/>
          <w:szCs w:val="22"/>
        </w:rPr>
        <w:t xml:space="preserve">, C. R., Fisher, L. B., &amp; </w:t>
      </w:r>
      <w:proofErr w:type="spellStart"/>
      <w:r w:rsidRPr="00F65098">
        <w:rPr>
          <w:rFonts w:ascii="Arial" w:hAnsi="Arial" w:eastAsia="Times New Roman" w:cs="Arial"/>
          <w:color w:val="000000"/>
          <w:sz w:val="22"/>
          <w:szCs w:val="22"/>
        </w:rPr>
        <w:t>Muharib</w:t>
      </w:r>
      <w:proofErr w:type="spellEnd"/>
      <w:r w:rsidRPr="00F65098">
        <w:rPr>
          <w:rFonts w:ascii="Arial" w:hAnsi="Arial" w:eastAsia="Times New Roman" w:cs="Arial"/>
          <w:color w:val="000000"/>
          <w:sz w:val="22"/>
          <w:szCs w:val="22"/>
        </w:rPr>
        <w:t>, R. (2018). Stopping behavior before it starts: Antecedent interventions for challenging behavior. </w:t>
      </w:r>
      <w:r w:rsidRPr="00F65098">
        <w:rPr>
          <w:rFonts w:ascii="Arial" w:hAnsi="Arial" w:eastAsia="Times New Roman" w:cs="Arial"/>
          <w:i/>
          <w:iCs/>
          <w:color w:val="000000"/>
          <w:sz w:val="22"/>
          <w:szCs w:val="22"/>
        </w:rPr>
        <w:t>TEACHING Exceptional Children</w:t>
      </w:r>
      <w:r w:rsidRPr="00F65098">
        <w:rPr>
          <w:rFonts w:ascii="Arial" w:hAnsi="Arial" w:eastAsia="Times New Roman" w:cs="Arial"/>
          <w:color w:val="000000"/>
          <w:sz w:val="22"/>
          <w:szCs w:val="22"/>
        </w:rPr>
        <w:t>, </w:t>
      </w:r>
      <w:r w:rsidRPr="00F65098">
        <w:rPr>
          <w:rFonts w:ascii="Arial" w:hAnsi="Arial" w:eastAsia="Times New Roman" w:cs="Arial"/>
          <w:i/>
          <w:iCs/>
          <w:color w:val="000000"/>
          <w:sz w:val="22"/>
          <w:szCs w:val="22"/>
        </w:rPr>
        <w:t>50</w:t>
      </w:r>
      <w:r w:rsidRPr="00F65098">
        <w:rPr>
          <w:rFonts w:ascii="Arial" w:hAnsi="Arial" w:eastAsia="Times New Roman" w:cs="Arial"/>
          <w:color w:val="000000"/>
          <w:sz w:val="22"/>
          <w:szCs w:val="22"/>
        </w:rPr>
        <w:t>(6), 356-363. </w:t>
      </w:r>
      <w:hyperlink w:history="1" r:id="rId29">
        <w:r w:rsidRPr="00167FAA">
          <w:rPr>
            <w:rFonts w:ascii="Arial" w:hAnsi="Arial" w:eastAsia="Times New Roman" w:cs="Arial"/>
            <w:color w:val="0070C0"/>
            <w:sz w:val="22"/>
            <w:szCs w:val="22"/>
            <w:u w:val="single"/>
          </w:rPr>
          <w:t>https://doi.org/10.1177/0040059918775052</w:t>
        </w:r>
      </w:hyperlink>
    </w:p>
    <w:p w:rsidRPr="00F65098" w:rsidR="00F65098" w:rsidP="002806D4" w:rsidRDefault="00F65098" w14:paraId="5934990C" w14:textId="77777777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Pr="00F65098" w:rsidR="00CF10BA" w:rsidP="002806D4" w:rsidRDefault="00CF10BA" w14:paraId="4CDBE3D4" w14:textId="77777777">
      <w:pPr>
        <w:ind w:left="360" w:hanging="360"/>
        <w:rPr>
          <w:rFonts w:ascii="Arial" w:hAnsi="Arial" w:cs="Arial"/>
          <w:sz w:val="22"/>
          <w:szCs w:val="22"/>
        </w:rPr>
      </w:pPr>
    </w:p>
    <w:sectPr w:rsidRPr="00F65098" w:rsidR="00CF10BA" w:rsidSect="003B5C04">
      <w:footerReference w:type="even" r:id="rId30"/>
      <w:footerReference w:type="default" r:id="rId31"/>
      <w:footerReference w:type="first" r:id="rId32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4C63" w:rsidP="007A2EBA" w:rsidRDefault="00F94C63" w14:paraId="742BA0B5" w14:textId="77777777">
      <w:r>
        <w:separator/>
      </w:r>
    </w:p>
  </w:endnote>
  <w:endnote w:type="continuationSeparator" w:id="0">
    <w:p w:rsidR="00F94C63" w:rsidP="007A2EBA" w:rsidRDefault="00F94C63" w14:paraId="35ABCF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52281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A2EBA" w:rsidP="00021D8A" w:rsidRDefault="007A2EBA" w14:paraId="39818EE6" w14:textId="3D90BA01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A2EBA" w:rsidP="007A2EBA" w:rsidRDefault="007A2EBA" w14:paraId="6F1FFED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rPr>
        <w:rStyle w:val="PageNumber"/>
      </w:rPr>
      <w:id w:val="2111547277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:rsidRPr="007A2EBA" w:rsidR="007A2EBA" w:rsidP="00021D8A" w:rsidRDefault="007A2EBA" w14:paraId="3FE018C1" w14:textId="1C26B0F5">
        <w:pPr>
          <w:pStyle w:val="Footer"/>
          <w:framePr w:wrap="none" w:hAnchor="margin" w:vAnchor="text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7A2EB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A2EB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A2EB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A2EBA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7A2EB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:rsidR="007A2EBA" w:rsidP="007A2EBA" w:rsidRDefault="00FA4C8C" w14:paraId="356A08CB" w14:textId="6B7A6A3D">
    <w:pPr>
      <w:pStyle w:val="Footer"/>
      <w:ind w:right="360"/>
    </w:pPr>
    <w:r w:rsidRPr="00FA4C8C">
      <w:rPr>
        <w:noProof/>
      </w:rPr>
      <w:drawing>
        <wp:anchor distT="0" distB="0" distL="114300" distR="114300" simplePos="0" relativeHeight="251659264" behindDoc="0" locked="0" layoutInCell="1" allowOverlap="1" wp14:anchorId="524A86BE" wp14:editId="14B870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09791" cy="485875"/>
          <wp:effectExtent l="0" t="0" r="3175" b="0"/>
          <wp:wrapNone/>
          <wp:docPr id="136803084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030845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791" cy="4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A2EBA" w:rsidR="007A2EBA" w:rsidP="007A2EBA" w:rsidRDefault="007A2EBA" w14:paraId="19CE489B" w14:textId="6CC68190">
    <w:pPr>
      <w:pStyle w:val="Footer"/>
    </w:pPr>
    <w:r w:rsidRPr="007A2EBA">
      <w:rPr>
        <w:noProof/>
      </w:rPr>
      <w:drawing>
        <wp:anchor distT="0" distB="0" distL="114300" distR="114300" simplePos="0" relativeHeight="251658240" behindDoc="0" locked="0" layoutInCell="1" allowOverlap="1" wp14:anchorId="16657258" wp14:editId="05929F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58000" cy="623570"/>
          <wp:effectExtent l="0" t="0" r="0" b="0"/>
          <wp:wrapNone/>
          <wp:docPr id="441112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121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4C63" w:rsidP="007A2EBA" w:rsidRDefault="00F94C63" w14:paraId="3CBE7709" w14:textId="77777777">
      <w:r>
        <w:separator/>
      </w:r>
    </w:p>
  </w:footnote>
  <w:footnote w:type="continuationSeparator" w:id="0">
    <w:p w:rsidR="00F94C63" w:rsidP="007A2EBA" w:rsidRDefault="00F94C63" w14:paraId="24E6E630" w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2A"/>
    <w:rsid w:val="000B44C0"/>
    <w:rsid w:val="00167FAA"/>
    <w:rsid w:val="00263E54"/>
    <w:rsid w:val="002806D4"/>
    <w:rsid w:val="0028121F"/>
    <w:rsid w:val="002B6D6C"/>
    <w:rsid w:val="002C2934"/>
    <w:rsid w:val="002D5098"/>
    <w:rsid w:val="00302FC9"/>
    <w:rsid w:val="003B5C04"/>
    <w:rsid w:val="003E0F62"/>
    <w:rsid w:val="004171AE"/>
    <w:rsid w:val="004476B2"/>
    <w:rsid w:val="005066E3"/>
    <w:rsid w:val="005B7EA0"/>
    <w:rsid w:val="005C77A4"/>
    <w:rsid w:val="006B0B7B"/>
    <w:rsid w:val="00757477"/>
    <w:rsid w:val="007A2EBA"/>
    <w:rsid w:val="00817377"/>
    <w:rsid w:val="00826A06"/>
    <w:rsid w:val="008452D6"/>
    <w:rsid w:val="008A4AC6"/>
    <w:rsid w:val="008C3FAC"/>
    <w:rsid w:val="009758CD"/>
    <w:rsid w:val="009F7F17"/>
    <w:rsid w:val="00A51738"/>
    <w:rsid w:val="00B32314"/>
    <w:rsid w:val="00BD642A"/>
    <w:rsid w:val="00C60C9C"/>
    <w:rsid w:val="00C80FC3"/>
    <w:rsid w:val="00C844FD"/>
    <w:rsid w:val="00CF10BA"/>
    <w:rsid w:val="00D158BE"/>
    <w:rsid w:val="00DD4DA9"/>
    <w:rsid w:val="00EB566C"/>
    <w:rsid w:val="00F37734"/>
    <w:rsid w:val="00F65098"/>
    <w:rsid w:val="00F853E7"/>
    <w:rsid w:val="00F94C63"/>
    <w:rsid w:val="00FA4C8C"/>
    <w:rsid w:val="040EA87D"/>
    <w:rsid w:val="04141B80"/>
    <w:rsid w:val="1355C246"/>
    <w:rsid w:val="163372D6"/>
    <w:rsid w:val="1FEF53A0"/>
    <w:rsid w:val="2070EA96"/>
    <w:rsid w:val="24025D8C"/>
    <w:rsid w:val="25DB6A27"/>
    <w:rsid w:val="299C9EB8"/>
    <w:rsid w:val="2A71DA89"/>
    <w:rsid w:val="2B044E98"/>
    <w:rsid w:val="385648C4"/>
    <w:rsid w:val="4707ADD8"/>
    <w:rsid w:val="500BEEC4"/>
    <w:rsid w:val="51059D52"/>
    <w:rsid w:val="572D55B4"/>
    <w:rsid w:val="59FF9827"/>
    <w:rsid w:val="5BD84B65"/>
    <w:rsid w:val="5D878C44"/>
    <w:rsid w:val="61E3F422"/>
    <w:rsid w:val="67225EB2"/>
    <w:rsid w:val="6C8EB095"/>
    <w:rsid w:val="6C98BDD7"/>
    <w:rsid w:val="70C4AD71"/>
    <w:rsid w:val="713BEDE8"/>
    <w:rsid w:val="7BB3BA88"/>
    <w:rsid w:val="7D82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0552F"/>
  <w15:chartTrackingRefBased/>
  <w15:docId w15:val="{6BC6C425-5CE9-C04E-AEA6-3E57D207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0B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10B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4A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2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EB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A2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E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2EB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EB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2EBA"/>
  </w:style>
  <w:style w:type="character" w:styleId="PageNumber">
    <w:name w:val="page number"/>
    <w:basedOn w:val="DefaultParagraphFont"/>
    <w:uiPriority w:val="99"/>
    <w:semiHidden/>
    <w:unhideWhenUsed/>
    <w:rsid w:val="007A2EBA"/>
  </w:style>
  <w:style w:type="paragraph" w:styleId="Header">
    <w:name w:val="header"/>
    <w:basedOn w:val="Normal"/>
    <w:link w:val="HeaderChar"/>
    <w:uiPriority w:val="99"/>
    <w:unhideWhenUsed/>
    <w:rsid w:val="007A2EB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2EBA"/>
  </w:style>
  <w:style w:type="character" w:styleId="FollowedHyperlink">
    <w:name w:val="FollowedHyperlink"/>
    <w:basedOn w:val="DefaultParagraphFont"/>
    <w:uiPriority w:val="99"/>
    <w:semiHidden/>
    <w:unhideWhenUsed/>
    <w:rsid w:val="00FA4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i.org/10.1002/pits.20206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doi.org/10.1177/1074295619852106" TargetMode="External" Id="rId21" /><Relationship Type="http://schemas.microsoft.com/office/2011/relationships/people" Target="people.xml" Id="rId34" /><Relationship Type="http://schemas.openxmlformats.org/officeDocument/2006/relationships/footnotes" Target="footnotes.xml" Id="rId7" /><Relationship Type="http://schemas.openxmlformats.org/officeDocument/2006/relationships/hyperlink" Target="https://doi.org/10.1901/jaba.1991.24-719" TargetMode="External" Id="rId17" /><Relationship Type="http://schemas.openxmlformats.org/officeDocument/2006/relationships/hyperlink" Target="https://www.tn.gov/content/dam/tn/education/special-education/rti/rti2b_framework.pdf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http://fifa.fmhi.usf.edu/FIFAManual.pdf" TargetMode="External" Id="rId16" /><Relationship Type="http://schemas.openxmlformats.org/officeDocument/2006/relationships/hyperlink" Target="https://pbismissouri.org/tier-3-workbook-resources/" TargetMode="External" Id="rId20" /><Relationship Type="http://schemas.openxmlformats.org/officeDocument/2006/relationships/hyperlink" Target="https://doi.org/10.1177/0040059918775052" TargetMode="External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hyperlink" Target="https://doi.org/10.1177/1098300720908013" TargetMode="External" Id="rId24" /><Relationship Type="http://schemas.openxmlformats.org/officeDocument/2006/relationships/footer" Target="footer3.xml" Id="rId32" /><Relationship Type="http://schemas.openxmlformats.org/officeDocument/2006/relationships/settings" Target="settings.xml" Id="rId5" /><Relationship Type="http://schemas.openxmlformats.org/officeDocument/2006/relationships/hyperlink" Target="https://doi.org/10.1177/1063426610387432" TargetMode="External" Id="rId15" /><Relationship Type="http://schemas.openxmlformats.org/officeDocument/2006/relationships/hyperlink" Target="https://doi.org/10.1007/s10567-015-0197-3" TargetMode="External" Id="rId23" /><Relationship Type="http://schemas.openxmlformats.org/officeDocument/2006/relationships/hyperlink" Target="https://doi.org/10.1177/10534512231175158" TargetMode="External" Id="rId28" /><Relationship Type="http://schemas.microsoft.com/office/2011/relationships/commentsExtended" Target="commentsExtended.xml" Id="rId10" /><Relationship Type="http://schemas.openxmlformats.org/officeDocument/2006/relationships/hyperlink" Target="https://doi.org/10.1177/1098300711411305" TargetMode="External" Id="rId19" /><Relationship Type="http://schemas.openxmlformats.org/officeDocument/2006/relationships/footer" Target="footer2.xml" Id="rId31" /><Relationship Type="http://schemas.openxmlformats.org/officeDocument/2006/relationships/styles" Target="styles.xml" Id="rId4" /><Relationship Type="http://schemas.openxmlformats.org/officeDocument/2006/relationships/hyperlink" Target="https://www.nc2s.org/resource/trauma-informed-resilience-oriented-schools-toolkit/" TargetMode="External" Id="rId14" /><Relationship Type="http://schemas.openxmlformats.org/officeDocument/2006/relationships/hyperlink" Target="https://intensiveintervention.org/sites/default/files/5_Elements_Fidelity_508.pdf" TargetMode="External" Id="rId22" /><Relationship Type="http://schemas.openxmlformats.org/officeDocument/2006/relationships/hyperlink" Target="https://sites.ed.gov/idea/files/qa-addressing-the-needs-of-children-with-disabilities-and-idea-discipline-provisions.pdf" TargetMode="External" Id="rId27" /><Relationship Type="http://schemas.openxmlformats.org/officeDocument/2006/relationships/footer" Target="footer1.xml" Id="rId30" /><Relationship Type="http://schemas.openxmlformats.org/officeDocument/2006/relationships/theme" Target="theme/theme1.xml" Id="rId35" /><Relationship Type="http://schemas.openxmlformats.org/officeDocument/2006/relationships/endnotes" Target="endnotes.xml" Id="rId8" /><Relationship Type="http://schemas.openxmlformats.org/officeDocument/2006/relationships/hyperlink" Target="https://digitalcommons.georgiasouthern.edu/gapbs/2016/2016/30" TargetMode="External" Id="Rcdd37c6f2a2e465e" /><Relationship Type="http://schemas.openxmlformats.org/officeDocument/2006/relationships/hyperlink" Target="https://www.tn.gov/content/dam/tn/education/special-education/rti/Updated_RTI2_Manual.pdf" TargetMode="External" Id="Re3994e20dc23464f" /><Relationship Type="http://schemas.openxmlformats.org/officeDocument/2006/relationships/hyperlink" Target="https://www.tn.gov/content/dam/tn/education/special-education/dys/Dyslexia_Resource_Guide_September_2024.pdf" TargetMode="External" Id="R5100d0b64c92484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5" ma:contentTypeDescription="Create a new document." ma:contentTypeScope="" ma:versionID="1d291164be4f67092e1175969fac154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c41a9f76a2eebeaa8236f043dcbe1d6c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6B3E4-3F75-4A93-9936-5F9161524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8DB41-0A59-48D8-846C-C3560EEC201B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3.xml><?xml version="1.0" encoding="utf-8"?>
<ds:datastoreItem xmlns:ds="http://schemas.openxmlformats.org/officeDocument/2006/customXml" ds:itemID="{9BD53EA6-D1D3-4439-BB7C-FEDACEC8BFA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Shuster, Brooke</dc:creator>
  <keywords/>
  <dc:description/>
  <lastModifiedBy>Hine, Melissa</lastModifiedBy>
  <revision>14</revision>
  <dcterms:created xsi:type="dcterms:W3CDTF">2024-09-26T18:24:00.0000000Z</dcterms:created>
  <dcterms:modified xsi:type="dcterms:W3CDTF">2025-01-14T18:52:04.8343067Z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